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 Heidy Purga</w:t>
      </w:r>
    </w:p>
    <w:p w:rsidR="00000000" w:rsidDel="00000000" w:rsidP="00000000" w:rsidRDefault="00000000" w:rsidRPr="00000000" w14:paraId="0000000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Kultuuriminister</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tab/>
        <w:tab/>
        <w:tab/>
        <w:tab/>
        <w:tab/>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ab/>
        <w:t xml:space="preserve">29. august 2025</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KIRJALIK KÜSIMUS</w:t>
        <w:br w:type="textWrapping"/>
      </w:r>
    </w:p>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Tasulised meediakanalite lehed</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br w:type="textWrapping"/>
        <w:t xml:space="preserve">Lugupeetud proua minister</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t xml:space="preserve">Avalikkuses on taas tõusetunud arutelu tasulise ligipääsu üle venekeelsetele meediakanalitele Eestis. Hiljutine pealkiri kõlas nii: „Aga miks te ei peaks selle eest maksma?“ Tasuline tellimus venekeelsetele meediakanalitele Eestis tekitab endiselt vaidlusi. Seoses sellega juhin tähelepanu kahele olulisele aspektile:  </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Delfi ja Postimehe venekeelsete väljaannete professionaalne tase on sageli madal ega võimalda pakkuda lugejale nii kvaliteetset sisu, et selle eest raha küsida.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Formaalselt rahastab riik neid väljaandeid ligikaudu ühe miljoni euroga aastas. Raske on mõista, kas maksumaksja raha eraldamise eesmärk on tõepoolest see, et need väljaanded sulgeksid oma artiklid masslugeja eest tasulise seina taha. </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Seoses eeltooduga palun Teil vastata järgmisele küsimustel: </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Milline on riikliku toetuse sihtotstarve venekeelsetele meediakanalitele? </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Kas ministeerium peab õigeks, et maksumaksja poolt rahastatud väljaanded piiravad oma sisu kättesaadavust tasulise seina kaudu? </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Kas ministeerium plaanib tulevikus seada tingimusi, mille kohaselt peab riigilt toetust saav venekeelne meedia säilitama oma põhisisu vabalt kättesaadavana masslugejale? </w:t>
        <w:br w:type="textWrapping"/>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Lugupidamisega</w:t>
        <w:br w:type="textWrapping"/>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(allkirjastatud digitaalselt)</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Aleksandr Tšaplõgin</w:t>
        <w:br w:type="textWrapping"/>
        <w:t xml:space="preserve">Riigikogu liige</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t"/>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